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A59" w:rsidRPr="00B02741" w:rsidRDefault="00B53777">
      <w:pPr>
        <w:tabs>
          <w:tab w:val="left" w:leader="dot" w:pos="9072"/>
        </w:tabs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Syllabus</w:t>
      </w:r>
    </w:p>
    <w:p w:rsidR="00920A59" w:rsidRPr="00B02741" w:rsidRDefault="00920A59">
      <w:pPr>
        <w:tabs>
          <w:tab w:val="left" w:leader="dot" w:pos="9072"/>
        </w:tabs>
        <w:spacing w:after="0" w:line="200" w:lineRule="atLeas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04"/>
      </w:tblGrid>
      <w:tr w:rsidR="00920A59" w:rsidRPr="00B02741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B02741" w:rsidRDefault="00920A59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Instructor's name: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AE3D45" w:rsidRDefault="00276C40" w:rsidP="00CF4C83">
            <w:pPr>
              <w:snapToGrid w:val="0"/>
              <w:spacing w:after="0" w:line="200" w:lineRule="atLeas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665B58">
              <w:rPr>
                <w:rFonts w:ascii="Arial" w:hAnsi="Arial" w:cs="Arial"/>
                <w:sz w:val="18"/>
                <w:szCs w:val="18"/>
              </w:rPr>
              <w:t>Agnes Stancel-Piątak</w:t>
            </w:r>
          </w:p>
        </w:tc>
      </w:tr>
      <w:tr w:rsidR="00920A59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B02741" w:rsidRDefault="00920A59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title: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276C40" w:rsidRDefault="00276C40">
            <w:pPr>
              <w:snapToGrid w:val="0"/>
              <w:spacing w:after="0" w:line="200" w:lineRule="atLeast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Hierarchical Linear Modeling with Large Scale Assessment Data with Mplus</w:t>
            </w:r>
          </w:p>
        </w:tc>
      </w:tr>
      <w:tr w:rsidR="00920A59" w:rsidRPr="00B02741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B02741" w:rsidRDefault="00920A59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</w:t>
            </w:r>
            <w:r w:rsidRPr="00B02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type: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B02741" w:rsidRDefault="00A2053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="000902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20A59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B02741" w:rsidRDefault="00920A59">
            <w:pPr>
              <w:snapToGrid w:val="0"/>
              <w:spacing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 of credit hours per edition: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B02741" w:rsidRDefault="0009045D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920A59" w:rsidRPr="00B02741">
              <w:rPr>
                <w:rFonts w:ascii="Arial" w:hAnsi="Arial" w:cs="Arial"/>
                <w:sz w:val="18"/>
                <w:szCs w:val="18"/>
                <w:lang w:val="en-US"/>
              </w:rPr>
              <w:t>0 x 45 min</w:t>
            </w:r>
            <w:r w:rsidR="002635E7">
              <w:rPr>
                <w:rFonts w:ascii="Arial" w:hAnsi="Arial" w:cs="Arial"/>
                <w:sz w:val="18"/>
                <w:szCs w:val="18"/>
                <w:lang w:val="en-US"/>
              </w:rPr>
              <w:t xml:space="preserve"> (workshop)</w:t>
            </w:r>
          </w:p>
        </w:tc>
      </w:tr>
      <w:tr w:rsidR="00035C2F" w:rsidRPr="00B02741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 w:rsidP="00AF3135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B02741" w:rsidRDefault="008B3488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ECTS</w:t>
            </w:r>
          </w:p>
        </w:tc>
      </w:tr>
      <w:tr w:rsidR="009649C3" w:rsidRPr="00B02741" w:rsidTr="008174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C3" w:rsidRPr="00B02741" w:rsidRDefault="009649C3" w:rsidP="00AF3135">
            <w:pPr>
              <w:snapToGrid w:val="0"/>
              <w:spacing w:after="0" w:line="200" w:lineRule="atLeast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C3" w:rsidRPr="00B02741" w:rsidRDefault="009569B6" w:rsidP="009569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="00E41EB1" w:rsidRPr="00B0274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9045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41EB1" w:rsidRPr="00B02741">
              <w:rPr>
                <w:rFonts w:ascii="Arial" w:hAnsi="Arial" w:cs="Arial"/>
                <w:sz w:val="18"/>
                <w:szCs w:val="18"/>
                <w:lang w:val="en-US"/>
              </w:rPr>
              <w:t>0h</w:t>
            </w:r>
          </w:p>
        </w:tc>
      </w:tr>
      <w:tr w:rsidR="00035C2F" w:rsidRPr="00B02741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snapToGrid w:val="0"/>
              <w:spacing w:after="0"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B02741">
              <w:rPr>
                <w:rFonts w:ascii="Arial" w:hAnsi="Arial" w:cs="Arial"/>
                <w:b/>
                <w:bCs/>
                <w:sz w:val="18"/>
                <w:szCs w:val="18"/>
              </w:rPr>
              <w:t>oftware to be used: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B02741" w:rsidRDefault="00276C40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65B58">
              <w:rPr>
                <w:rFonts w:ascii="Arial" w:hAnsi="Arial" w:cs="Arial"/>
                <w:sz w:val="18"/>
                <w:szCs w:val="18"/>
              </w:rPr>
              <w:t>Mplus software</w:t>
            </w:r>
          </w:p>
        </w:tc>
      </w:tr>
      <w:tr w:rsidR="00035C2F" w:rsidRPr="0009026D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snapToGrid w:val="0"/>
              <w:spacing w:after="0" w:line="200" w:lineRule="atLeas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0274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Teaching day schedule preferences: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A2A" w:rsidRDefault="00CC34C0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1</w:t>
            </w:r>
            <w:bookmarkStart w:id="0" w:name="_GoBack"/>
            <w:bookmarkEnd w:id="0"/>
          </w:p>
          <w:p w:rsidR="00B04A2A" w:rsidRDefault="00525221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 x 90 min – sessions with </w:t>
            </w:r>
            <w:r w:rsidR="002341C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15 min breaks and 1 x 90 min </w:t>
            </w:r>
            <w:r w:rsidR="002341C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  <w:p w:rsidR="006D6721" w:rsidRDefault="006D6721" w:rsidP="006D6721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2-4</w:t>
            </w:r>
          </w:p>
          <w:p w:rsidR="00035C2F" w:rsidRPr="00B02741" w:rsidRDefault="007431F6" w:rsidP="006D6721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  <w:r w:rsidR="006D672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90 min – sessions with 2 x 15 min breaks and 1 x 90 min </w:t>
            </w:r>
            <w:r w:rsidR="002341C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 w:rsidR="006D672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</w:tc>
      </w:tr>
      <w:tr w:rsidR="00065BA4" w:rsidRPr="0009026D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B02741" w:rsidRDefault="00065BA4" w:rsidP="00A7202F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C40" w:rsidRPr="00276C40" w:rsidRDefault="00276C40" w:rsidP="00276C40">
            <w:pPr>
              <w:spacing w:after="0" w:line="280" w:lineRule="exact"/>
              <w:ind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After After this workshop, students will possess </w:t>
            </w:r>
            <w:r w:rsidRPr="00276C40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 regarding: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Basic theory of HLM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Different models in HLM and their specifications for testing hypotheses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Practical applications of HLM to Large Scale Assessment data with a specific set of methods</w:t>
            </w:r>
          </w:p>
          <w:p w:rsidR="00065BA4" w:rsidRPr="00276C40" w:rsidRDefault="00065BA4" w:rsidP="00276C40">
            <w:pPr>
              <w:suppressAutoHyphens w:val="0"/>
              <w:spacing w:line="360" w:lineRule="auto"/>
              <w:ind w:left="36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5BA4" w:rsidRPr="0009026D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B02741" w:rsidRDefault="00065BA4" w:rsidP="00A7202F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C40" w:rsidRPr="00276C40" w:rsidRDefault="00276C40" w:rsidP="00276C40">
            <w:pPr>
              <w:spacing w:after="0" w:line="280" w:lineRule="exact"/>
              <w:ind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After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After 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the course students will have the </w:t>
            </w:r>
            <w:r w:rsidRPr="00276C40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 to: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Correctly apply hierarchical analysis with large scale data, using plausible values, sampling weights, etc.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Specify and estimate models using Mplus software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Justify the model goodness of fit 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Interpret the results of two-level and three-level models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Test hypotheses using Hierarchical Linear Modeling (HLM)</w:t>
            </w:r>
          </w:p>
          <w:p w:rsidR="00AE3D45" w:rsidRPr="00276C40" w:rsidRDefault="00AE3D45" w:rsidP="00276C40">
            <w:pPr>
              <w:suppressAutoHyphens w:val="0"/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5BA4" w:rsidRPr="0009026D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C713C" w:rsidRDefault="00065BA4" w:rsidP="00A7202F">
            <w:pPr>
              <w:spacing w:after="0" w:line="2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C713C">
              <w:rPr>
                <w:rFonts w:ascii="Arial" w:hAnsi="Arial" w:cs="Arial"/>
                <w:b/>
                <w:sz w:val="18"/>
                <w:szCs w:val="18"/>
                <w:lang w:val="en-US"/>
              </w:rPr>
              <w:t>Social competences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A4" w:rsidRPr="009C713C" w:rsidRDefault="00065BA4" w:rsidP="006E7089">
            <w:pPr>
              <w:spacing w:after="0" w:line="2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713C">
              <w:rPr>
                <w:rFonts w:ascii="Arial" w:hAnsi="Arial" w:cs="Arial"/>
                <w:sz w:val="18"/>
                <w:szCs w:val="18"/>
                <w:lang w:val="en-US"/>
              </w:rPr>
              <w:t>Is a</w:t>
            </w:r>
            <w:r w:rsidR="0081312D" w:rsidRPr="009C713C">
              <w:rPr>
                <w:rFonts w:ascii="Arial" w:hAnsi="Arial" w:cs="Arial"/>
                <w:sz w:val="18"/>
                <w:szCs w:val="18"/>
                <w:lang w:val="en-US"/>
              </w:rPr>
              <w:t>ble to communicate</w:t>
            </w:r>
            <w:r w:rsidRPr="009C71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7089" w:rsidRPr="009C713C">
              <w:rPr>
                <w:rFonts w:ascii="Arial" w:hAnsi="Arial" w:cs="Arial"/>
                <w:sz w:val="18"/>
                <w:szCs w:val="18"/>
                <w:lang w:val="en-US"/>
              </w:rPr>
              <w:t>the knowledge of the workshop in a simple way</w:t>
            </w:r>
          </w:p>
        </w:tc>
      </w:tr>
      <w:tr w:rsidR="00035C2F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objectives: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0A" w:rsidRDefault="003F490A" w:rsidP="00276C40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This workshop will cover the </w:t>
            </w:r>
            <w:r w:rsidRPr="00205EDD">
              <w:rPr>
                <w:rFonts w:ascii="Arial" w:hAnsi="Arial" w:cs="Arial"/>
                <w:sz w:val="18"/>
                <w:szCs w:val="18"/>
                <w:lang w:val="en-US"/>
              </w:rPr>
              <w:t>knowledge regarding conceptual and theoretical underpinnings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 the Theory of Hierarchical Linear Modeling (HLM)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It will guide participants on </w:t>
            </w:r>
            <w:r w:rsidRPr="00E006A4">
              <w:rPr>
                <w:rFonts w:ascii="Arial" w:hAnsi="Arial" w:cs="Arial"/>
                <w:sz w:val="18"/>
                <w:szCs w:val="18"/>
                <w:lang w:val="en-US"/>
              </w:rPr>
              <w:t>how to</w:t>
            </w:r>
            <w:r w:rsidRPr="00205E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apply specific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issues related to HLM of Large 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Scale Data (weighting, scaling, plausible values)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It will train participants on </w:t>
            </w:r>
            <w:r w:rsidRPr="00E006A4">
              <w:rPr>
                <w:rFonts w:ascii="Arial" w:hAnsi="Arial" w:cs="Arial"/>
                <w:sz w:val="18"/>
                <w:szCs w:val="18"/>
                <w:lang w:val="en-US"/>
              </w:rPr>
              <w:t>how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use of Mplus software to correctly apply hierarchical analysis with large scale data and to specify and estimate models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The participants will understand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 the issues of variance decomposition, fit indices of hierarchical models, model choice and model comparisons</w:t>
            </w:r>
            <w:r w:rsidR="00697707">
              <w:rPr>
                <w:rFonts w:ascii="Arial" w:hAnsi="Arial" w:cs="Arial"/>
                <w:sz w:val="18"/>
                <w:szCs w:val="18"/>
                <w:lang w:val="en-US"/>
              </w:rPr>
              <w:t xml:space="preserve">. Participants will also learn about 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the possibilities and complexities of the HLM method in hypothesis testing</w:t>
            </w:r>
            <w:r w:rsidR="0069770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97707" w:rsidRDefault="00697707" w:rsidP="00276C40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6C40" w:rsidRPr="00276C40" w:rsidRDefault="00276C40" w:rsidP="00276C40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During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course, students will develop their </w:t>
            </w:r>
            <w:r w:rsidRPr="00276C40">
              <w:rPr>
                <w:rFonts w:ascii="Arial" w:hAnsi="Arial" w:cs="Arial"/>
                <w:b/>
                <w:sz w:val="18"/>
                <w:szCs w:val="18"/>
                <w:lang w:val="en-US"/>
              </w:rPr>
              <w:t>attitudes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 related to: 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 xml:space="preserve">Critical interpretation and justification of HLM analysis presented in the </w:t>
            </w: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current research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Recognitions of possibilities and complexities of the method in hypothesis testing</w:t>
            </w:r>
          </w:p>
          <w:p w:rsidR="00276C40" w:rsidRPr="00276C40" w:rsidRDefault="00276C40" w:rsidP="00276C40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80" w:lineRule="exact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Understanding the implications, advantages and limitations of the method</w:t>
            </w:r>
          </w:p>
          <w:p w:rsidR="00F26546" w:rsidRPr="00276C40" w:rsidRDefault="00F26546" w:rsidP="00276C40">
            <w:p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5C2F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Prerequisites: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40" w:rsidRPr="00276C40" w:rsidRDefault="00276C40" w:rsidP="00276C40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Basic statistical concepts and SPSS</w:t>
            </w:r>
          </w:p>
          <w:p w:rsidR="00E214E7" w:rsidRPr="00FB22C9" w:rsidRDefault="00276C40" w:rsidP="00276C40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6C40">
              <w:rPr>
                <w:rFonts w:ascii="Arial" w:hAnsi="Arial" w:cs="Arial"/>
                <w:sz w:val="18"/>
                <w:szCs w:val="18"/>
                <w:lang w:val="en-US"/>
              </w:rPr>
              <w:t>An understanding of methods of inferential statistics (regression, correlation, 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nd variance analysis)</w:t>
            </w:r>
          </w:p>
        </w:tc>
      </w:tr>
      <w:tr w:rsidR="00035C2F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 requirements: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Actively participate during presentations in workshop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Actively participate in hands-on trainings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Develop hypothesis and analysis plan and implement the models with Mplus</w:t>
            </w:r>
          </w:p>
          <w:p w:rsidR="00F26546" w:rsidRPr="00FB22C9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Present results of above listed exercises to the colloquium</w:t>
            </w:r>
          </w:p>
        </w:tc>
      </w:tr>
      <w:tr w:rsidR="00035C2F" w:rsidRPr="0009026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Recommended reading: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0A" w:rsidRPr="003F490A" w:rsidRDefault="003F490A" w:rsidP="003F49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Ferron, J., Hess, M. R., Hogarty, K. Y., Dedrick, R. F., Kromrey, J. D., Lang, T. R., and Niles, J. (2004). </w:t>
            </w:r>
            <w:r w:rsidRPr="003F490A">
              <w:rPr>
                <w:rFonts w:ascii="Arial" w:hAnsi="Arial" w:cs="Arial"/>
                <w:i/>
                <w:sz w:val="18"/>
                <w:szCs w:val="18"/>
                <w:lang w:val="en-US"/>
              </w:rPr>
              <w:t>Hierarchical Linear Modeling: A Review of Methodological Issues and Applications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: 2004 annual meeting of the American Educational Research Association, San Diego, April 12-16. Retrieved from: </w:t>
            </w:r>
            <w:hyperlink r:id="rId8" w:history="1">
              <w:r w:rsidRPr="003F490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http://www.coedu.usf.edu/main/departments/me/documents/hml.pdf</w:t>
              </w:r>
            </w:hyperlink>
          </w:p>
          <w:p w:rsidR="003F490A" w:rsidRPr="003F490A" w:rsidRDefault="003F490A" w:rsidP="003F490A">
            <w:pPr>
              <w:spacing w:after="0" w:line="280" w:lineRule="exact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Raudenbush, S. W. &amp; Bryk, A. S. (2002). </w:t>
            </w:r>
            <w:r w:rsidRPr="003F490A">
              <w:rPr>
                <w:rFonts w:ascii="Arial" w:hAnsi="Arial" w:cs="Arial"/>
                <w:i/>
                <w:sz w:val="18"/>
                <w:szCs w:val="18"/>
                <w:lang w:val="en-US"/>
              </w:rPr>
              <w:t>Hierarchical linear models: Applications and data analysis methods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. Newbury Park: Sage Publications.</w:t>
            </w:r>
          </w:p>
          <w:p w:rsidR="003F490A" w:rsidRPr="003F490A" w:rsidRDefault="003F490A" w:rsidP="003F490A">
            <w:pPr>
              <w:spacing w:after="0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Hox, J. J. (2008). </w:t>
            </w:r>
            <w:r w:rsidRPr="003F490A">
              <w:rPr>
                <w:rFonts w:ascii="Arial" w:hAnsi="Arial" w:cs="Arial"/>
                <w:i/>
                <w:sz w:val="18"/>
                <w:szCs w:val="18"/>
                <w:lang w:val="en-US"/>
              </w:rPr>
              <w:t>Multilevel analysis. Technics and applications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. New York: Psychology Press.</w:t>
            </w:r>
          </w:p>
          <w:p w:rsidR="003F490A" w:rsidRPr="003F490A" w:rsidRDefault="003F490A" w:rsidP="003F490A">
            <w:pPr>
              <w:spacing w:after="0" w:line="280" w:lineRule="exact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Information on how to use Mplus:</w:t>
            </w:r>
          </w:p>
          <w:p w:rsidR="003F490A" w:rsidRPr="003F490A" w:rsidRDefault="003F490A" w:rsidP="003F49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Muthén &amp; Muthén -- Home Page. (2013). Retrieved December 11, 2013, from </w:t>
            </w:r>
            <w:hyperlink r:id="rId9" w:history="1">
              <w:r w:rsidRPr="003F490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http://www.statmodel.com/</w:t>
              </w:r>
            </w:hyperlink>
          </w:p>
          <w:p w:rsidR="003F490A" w:rsidRPr="003F490A" w:rsidRDefault="003F490A" w:rsidP="003F490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20" w:hanging="7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for digital research and education: </w:t>
            </w:r>
            <w:hyperlink r:id="rId10" w:history="1">
              <w:r w:rsidRPr="003F490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http://www.ats.ucla.edu/stat/mplus/</w:t>
              </w:r>
            </w:hyperlink>
          </w:p>
          <w:p w:rsidR="00035C2F" w:rsidRPr="00A047DA" w:rsidRDefault="00035C2F" w:rsidP="009D5B61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035C2F" w:rsidRPr="00276C40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B02741" w:rsidRDefault="00035C2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27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plan: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0A" w:rsidRPr="003F490A" w:rsidRDefault="003F490A" w:rsidP="003F490A">
            <w:pPr>
              <w:keepNext/>
              <w:spacing w:after="0"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Exercise 1 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Aim: Hands-on-trainings – Running different models with a prepared data set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Outcome: Participants will learn to run different models in Mplus and to read the output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Form: group-work</w:t>
            </w:r>
          </w:p>
          <w:p w:rsidR="003F490A" w:rsidRPr="003F490A" w:rsidRDefault="003F490A" w:rsidP="003F490A">
            <w:pPr>
              <w:keepNext/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2</w:t>
            </w: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Aim: Interpretation and discussion on the results of analyses conducted with Mplus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Outcome: Participants learn to interpret and justify the results of analyses. Also possible model modifications are discussed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Form: colloquium</w:t>
            </w:r>
          </w:p>
          <w:p w:rsidR="003F490A" w:rsidRPr="003F490A" w:rsidRDefault="003F490A" w:rsidP="003F490A">
            <w:pPr>
              <w:keepNext/>
              <w:spacing w:after="0"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3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Aim: Development of hypothesis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Outcome: Applying the knowledge on HLM and on sampling design (from previous trainings) participants will learn, how to develop a new research question and an analysis plan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Form: group-work/individually</w:t>
            </w:r>
          </w:p>
          <w:p w:rsidR="003F490A" w:rsidRPr="003F490A" w:rsidRDefault="003F490A" w:rsidP="003F490A">
            <w:pPr>
              <w:keepNext/>
              <w:spacing w:after="0"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4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Aim: Data preparation for Mplus and analysis with HLM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Outcome: Participants will learn how to prepare an appropriate data set with SPSS and how to apply the analysis of earlier developed hypothesis with Mplus.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Form: group-work/individually</w:t>
            </w:r>
          </w:p>
          <w:p w:rsidR="003F490A" w:rsidRPr="003F490A" w:rsidRDefault="003F490A" w:rsidP="003F490A">
            <w:pPr>
              <w:keepNext/>
              <w:spacing w:after="0"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Exercise 5 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Aim: Interpretation and critical justification of the results</w:t>
            </w:r>
          </w:p>
          <w:p w:rsidR="003F490A" w:rsidRPr="003F490A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490A">
              <w:rPr>
                <w:rFonts w:ascii="Arial" w:hAnsi="Arial" w:cs="Arial"/>
                <w:sz w:val="18"/>
                <w:szCs w:val="18"/>
                <w:lang w:val="en-US"/>
              </w:rPr>
              <w:t>Outcome: Participants learn, how to choose the best model, to interpret it and also how to justify the contribution of the analysis to existing research considering the limitations of the method</w:t>
            </w:r>
          </w:p>
          <w:p w:rsidR="003F490A" w:rsidRPr="00665B58" w:rsidRDefault="003F490A" w:rsidP="003F490A">
            <w:pPr>
              <w:spacing w:after="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5B58">
              <w:rPr>
                <w:rFonts w:ascii="Arial" w:hAnsi="Arial" w:cs="Arial"/>
                <w:sz w:val="18"/>
                <w:szCs w:val="18"/>
              </w:rPr>
              <w:t>Form: group work/colloquium</w:t>
            </w:r>
          </w:p>
          <w:p w:rsidR="00035C2F" w:rsidRPr="00097FBF" w:rsidRDefault="00035C2F" w:rsidP="00097FBF">
            <w:pPr>
              <w:pStyle w:val="NormalnyWeb"/>
              <w:snapToGrid w:val="0"/>
              <w:spacing w:before="0" w:after="0" w:line="200" w:lineRule="atLeast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</w:tbl>
    <w:p w:rsidR="00567457" w:rsidRPr="00FB22C9" w:rsidRDefault="00567457">
      <w:pPr>
        <w:spacing w:after="0" w:line="200" w:lineRule="atLeast"/>
        <w:rPr>
          <w:lang w:val="en-US"/>
        </w:rPr>
      </w:pPr>
    </w:p>
    <w:sectPr w:rsidR="00567457" w:rsidRPr="00FB22C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68" w:right="1417" w:bottom="1417" w:left="1417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B8" w:rsidRDefault="00837CB8">
      <w:pPr>
        <w:spacing w:after="0" w:line="240" w:lineRule="auto"/>
      </w:pPr>
      <w:r>
        <w:separator/>
      </w:r>
    </w:p>
  </w:endnote>
  <w:endnote w:type="continuationSeparator" w:id="0">
    <w:p w:rsidR="00837CB8" w:rsidRDefault="008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ind w:right="-567"/>
      <w:jc w:val="right"/>
      <w:rPr>
        <w:rFonts w:ascii="Arial" w:hAnsi="Arial" w:cs="Arial"/>
        <w:sz w:val="4"/>
        <w:szCs w:val="4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3105" cy="422275"/>
              <wp:effectExtent l="3175" t="381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A59" w:rsidRDefault="00920A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15pt;height:33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aM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9Ps3SOEYW9Is/z83kgl5BqOm2s82+57lAwamxB&#10;+YhO9rfOj66TS7jMaSnYWkgZJ3a7uZYW7QlUyTp+B/QXblIFZ6XDsRFxXAGScEfYC3Sj6o9llhfp&#10;VV7O1meL81mxLuaz8jxdzNKsvCrP0qIsbtbfA8GsqFrBGFe3QvGpArPi7xQ+9MJYO7EGUV/jcp7P&#10;R4n+GGQav98F2QkPDSlFV+PF0YlUQdg3ikHYpPJEyNFOXtKPgkAOpn/MSiyDoPxYA37YDIASamOj&#10;2QMUhNWgF6gOrwgYrbbfMOqhI2vsvu6I5RjJdwqKKrTvZNjJ2EwGURSO1thjNJrXfmzznbFi2wLy&#10;WLZKX0LhNSLWxBMLoBwm0GWR/OFFCG38fB69nt6t1Q8AAAD//wMAUEsDBBQABgAIAAAAIQDppEvT&#10;3wAAAAkBAAAPAAAAZHJzL2Rvd25yZXYueG1sTI/BTsMwDIbvSLxDZCQuiKWLWNlK0wk2uMFhY9rZ&#10;a0Jb0ThVk67d22NOcLPlT7+/P19PrhVn24fGk4b5LAFhqfSmoUrD4fPtfgkiRCSDrSer4WIDrIvr&#10;qxwz40fa2fM+VoJDKGSooY6xy6QMZW0dhpnvLPHty/cOI699JU2PI4e7VqokSaXDhvhDjZ3d1Lb8&#10;3g9OQ7rth3FHm7vt4fUdP7pKHV8uR61vb6bnJxDRTvEPhl99VoeCnU5+IBNEq0E9JAtGeUjnIBh4&#10;XCjuctKwUinIIpf/GxQ/AAAA//8DAFBLAQItABQABgAIAAAAIQC2gziS/gAAAOEBAAATAAAAAAAA&#10;AAAAAAAAAAAAAABbQ29udGVudF9UeXBlc10ueG1sUEsBAi0AFAAGAAgAAAAhADj9If/WAAAAlAEA&#10;AAsAAAAAAAAAAAAAAAAALwEAAF9yZWxzLy5yZWxzUEsBAi0AFAAGAAgAAAAhAI1Shox6AgAA/wQA&#10;AA4AAAAAAAAAAAAAAAAALgIAAGRycy9lMm9Eb2MueG1sUEsBAi0AFAAGAAgAAAAhAOmkS9PfAAAA&#10;CQEAAA8AAAAAAAAAAAAAAAAA1AQAAGRycy9kb3ducmV2LnhtbFBLBQYAAAAABAAEAPMAAADgBQAA&#10;AAA=&#10;" stroked="f">
              <v:textbox inset="0,0,0,0">
                <w:txbxContent>
                  <w:p w:rsidR="00920A59" w:rsidRDefault="00920A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B8" w:rsidRDefault="00837CB8">
      <w:pPr>
        <w:spacing w:after="0" w:line="240" w:lineRule="auto"/>
      </w:pPr>
      <w:r>
        <w:separator/>
      </w:r>
    </w:p>
  </w:footnote>
  <w:footnote w:type="continuationSeparator" w:id="0">
    <w:p w:rsidR="00837CB8" w:rsidRDefault="008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pStyle w:val="Nagwek1"/>
    </w:pPr>
    <w:r>
      <w:rPr>
        <w:noProof/>
        <w:lang w:val="en-US" w:eastAsia="en-US"/>
      </w:rPr>
      <w:drawing>
        <wp:inline distT="0" distB="0" distL="0" distR="0">
          <wp:extent cx="56102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65B25"/>
    <w:multiLevelType w:val="hybridMultilevel"/>
    <w:tmpl w:val="A88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56"/>
    <w:multiLevelType w:val="hybridMultilevel"/>
    <w:tmpl w:val="BB0E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B93"/>
    <w:multiLevelType w:val="hybridMultilevel"/>
    <w:tmpl w:val="2394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94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9B0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BB5D8F"/>
    <w:multiLevelType w:val="hybridMultilevel"/>
    <w:tmpl w:val="0D72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389"/>
    <w:multiLevelType w:val="multilevel"/>
    <w:tmpl w:val="D26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0934"/>
    <w:multiLevelType w:val="hybridMultilevel"/>
    <w:tmpl w:val="5CA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54C3"/>
    <w:multiLevelType w:val="hybridMultilevel"/>
    <w:tmpl w:val="14B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7F6342"/>
    <w:multiLevelType w:val="singleLevel"/>
    <w:tmpl w:val="6D70F6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8740FE"/>
    <w:multiLevelType w:val="singleLevel"/>
    <w:tmpl w:val="1F00C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AA3DAF"/>
    <w:multiLevelType w:val="hybridMultilevel"/>
    <w:tmpl w:val="3BFCC2E0"/>
    <w:lvl w:ilvl="0" w:tplc="A04AA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03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C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62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6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C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20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6B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A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F"/>
    <w:rsid w:val="000045C9"/>
    <w:rsid w:val="00035C2F"/>
    <w:rsid w:val="000613E6"/>
    <w:rsid w:val="00065BA4"/>
    <w:rsid w:val="00073517"/>
    <w:rsid w:val="0009026D"/>
    <w:rsid w:val="0009045D"/>
    <w:rsid w:val="00097FBF"/>
    <w:rsid w:val="001417D5"/>
    <w:rsid w:val="001A5BBD"/>
    <w:rsid w:val="001E2C52"/>
    <w:rsid w:val="00205EDD"/>
    <w:rsid w:val="00221B25"/>
    <w:rsid w:val="002341CB"/>
    <w:rsid w:val="002635E7"/>
    <w:rsid w:val="00276C40"/>
    <w:rsid w:val="002F00C6"/>
    <w:rsid w:val="002F175F"/>
    <w:rsid w:val="003B1DCE"/>
    <w:rsid w:val="003F490A"/>
    <w:rsid w:val="004130B7"/>
    <w:rsid w:val="00440DEB"/>
    <w:rsid w:val="004C4F2F"/>
    <w:rsid w:val="00517BA2"/>
    <w:rsid w:val="00525221"/>
    <w:rsid w:val="00536D43"/>
    <w:rsid w:val="00567457"/>
    <w:rsid w:val="00594A80"/>
    <w:rsid w:val="005D3708"/>
    <w:rsid w:val="00697707"/>
    <w:rsid w:val="006B21D3"/>
    <w:rsid w:val="006D4DE1"/>
    <w:rsid w:val="006D6721"/>
    <w:rsid w:val="006E7089"/>
    <w:rsid w:val="006F0B7D"/>
    <w:rsid w:val="006F5E95"/>
    <w:rsid w:val="007431F6"/>
    <w:rsid w:val="007B04D9"/>
    <w:rsid w:val="0081312D"/>
    <w:rsid w:val="00817499"/>
    <w:rsid w:val="00837CB8"/>
    <w:rsid w:val="00842996"/>
    <w:rsid w:val="00866307"/>
    <w:rsid w:val="00883B69"/>
    <w:rsid w:val="008B3488"/>
    <w:rsid w:val="00920A59"/>
    <w:rsid w:val="009258CF"/>
    <w:rsid w:val="009569B6"/>
    <w:rsid w:val="009649C3"/>
    <w:rsid w:val="009A3A51"/>
    <w:rsid w:val="009A5B8C"/>
    <w:rsid w:val="009C713C"/>
    <w:rsid w:val="009D5B61"/>
    <w:rsid w:val="00A047DA"/>
    <w:rsid w:val="00A2053F"/>
    <w:rsid w:val="00A408EE"/>
    <w:rsid w:val="00A7202F"/>
    <w:rsid w:val="00A94007"/>
    <w:rsid w:val="00AA2E51"/>
    <w:rsid w:val="00AA4014"/>
    <w:rsid w:val="00AD6268"/>
    <w:rsid w:val="00AE3D45"/>
    <w:rsid w:val="00AF3135"/>
    <w:rsid w:val="00AF4A5F"/>
    <w:rsid w:val="00B02741"/>
    <w:rsid w:val="00B04A2A"/>
    <w:rsid w:val="00B53777"/>
    <w:rsid w:val="00BE6258"/>
    <w:rsid w:val="00C02E4E"/>
    <w:rsid w:val="00C15BD0"/>
    <w:rsid w:val="00C954B2"/>
    <w:rsid w:val="00CB0910"/>
    <w:rsid w:val="00CC34C0"/>
    <w:rsid w:val="00CF4C83"/>
    <w:rsid w:val="00D06987"/>
    <w:rsid w:val="00D25A20"/>
    <w:rsid w:val="00D662DC"/>
    <w:rsid w:val="00D9410B"/>
    <w:rsid w:val="00DC3283"/>
    <w:rsid w:val="00E006A4"/>
    <w:rsid w:val="00E031B6"/>
    <w:rsid w:val="00E214E7"/>
    <w:rsid w:val="00E41EB1"/>
    <w:rsid w:val="00EA1997"/>
    <w:rsid w:val="00EB3574"/>
    <w:rsid w:val="00ED4CB7"/>
    <w:rsid w:val="00F26546"/>
    <w:rsid w:val="00F72A08"/>
    <w:rsid w:val="00F9523B"/>
    <w:rsid w:val="00FB1830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du.usf.edu/main/departments/me/documents/hml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ts.ucla.edu/stat/mpl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model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description form</vt:lpstr>
      <vt:lpstr>Course description form</vt:lpstr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form</dc:title>
  <dc:creator>poldyd</dc:creator>
  <cp:lastModifiedBy>swps</cp:lastModifiedBy>
  <cp:revision>4</cp:revision>
  <cp:lastPrinted>2013-10-17T09:09:00Z</cp:lastPrinted>
  <dcterms:created xsi:type="dcterms:W3CDTF">2014-01-12T13:51:00Z</dcterms:created>
  <dcterms:modified xsi:type="dcterms:W3CDTF">2014-01-15T13:53:00Z</dcterms:modified>
</cp:coreProperties>
</file>